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240"/>
        </w:tabs>
        <w:spacing w:line="360" w:lineRule="auto"/>
        <w:jc w:val="center"/>
        <w:rPr>
          <w:rFonts w:hint="default" w:ascii="宋体" w:hAnsi="宋体" w:eastAsia="宋体" w:cs="宋体"/>
          <w:b/>
          <w:sz w:val="24"/>
          <w:lang w:val="en-US" w:eastAsia="zh-CN"/>
        </w:rPr>
      </w:pPr>
      <w:r>
        <w:rPr>
          <w:rFonts w:hint="eastAsia" w:ascii="宋体" w:hAnsi="宋体" w:eastAsia="宋体" w:cs="宋体"/>
          <w:b/>
          <w:sz w:val="24"/>
        </w:rPr>
        <w:t>证券代码：000655        证券简称：金岭</w:t>
      </w:r>
      <w:r>
        <w:rPr>
          <w:rFonts w:hint="eastAsia" w:ascii="宋体" w:hAnsi="宋体" w:eastAsia="宋体" w:cs="宋体"/>
          <w:b/>
          <w:sz w:val="24"/>
          <w:lang w:val="en-US" w:eastAsia="zh-CN"/>
        </w:rPr>
        <w:t>矿业</w:t>
      </w:r>
      <w:r>
        <w:rPr>
          <w:rFonts w:hint="eastAsia" w:ascii="宋体" w:hAnsi="宋体" w:eastAsia="宋体" w:cs="宋体"/>
          <w:b/>
          <w:sz w:val="24"/>
        </w:rPr>
        <w:t xml:space="preserve">       公告编号：20</w:t>
      </w:r>
      <w:r>
        <w:rPr>
          <w:rFonts w:hint="eastAsia" w:ascii="宋体" w:hAnsi="宋体" w:eastAsia="宋体" w:cs="宋体"/>
          <w:b/>
          <w:sz w:val="24"/>
          <w:lang w:val="en-US" w:eastAsia="zh-CN"/>
        </w:rPr>
        <w:t>23</w:t>
      </w:r>
      <w:r>
        <w:rPr>
          <w:rFonts w:hint="eastAsia" w:ascii="宋体" w:hAnsi="宋体" w:eastAsia="宋体" w:cs="宋体"/>
          <w:b/>
          <w:sz w:val="24"/>
        </w:rPr>
        <w:t>-</w:t>
      </w:r>
      <w:r>
        <w:rPr>
          <w:rFonts w:hint="eastAsia" w:eastAsia="宋体" w:cs="宋体"/>
          <w:b/>
          <w:sz w:val="24"/>
          <w:lang w:val="en-US" w:eastAsia="zh-CN"/>
        </w:rPr>
        <w:t>030</w:t>
      </w:r>
    </w:p>
    <w:p>
      <w:pPr>
        <w:tabs>
          <w:tab w:val="left" w:pos="3240"/>
        </w:tabs>
        <w:spacing w:line="360" w:lineRule="auto"/>
        <w:ind w:firstLine="602" w:firstLineChars="250"/>
        <w:jc w:val="left"/>
        <w:rPr>
          <w:rFonts w:hint="eastAsia" w:ascii="宋体" w:hAnsi="宋体" w:eastAsia="宋体" w:cs="宋体"/>
          <w:b/>
          <w:sz w:val="24"/>
        </w:rPr>
      </w:pPr>
    </w:p>
    <w:p>
      <w:pPr>
        <w:tabs>
          <w:tab w:val="left" w:pos="3240"/>
        </w:tabs>
        <w:spacing w:line="360" w:lineRule="auto"/>
        <w:jc w:val="center"/>
        <w:rPr>
          <w:rFonts w:hint="eastAsia" w:ascii="宋体" w:hAnsi="宋体" w:eastAsia="宋体" w:cs="宋体"/>
          <w:b/>
          <w:color w:val="FF0000"/>
          <w:sz w:val="32"/>
          <w:szCs w:val="32"/>
        </w:rPr>
      </w:pPr>
      <w:r>
        <w:rPr>
          <w:rFonts w:hint="eastAsia" w:ascii="宋体" w:hAnsi="宋体" w:eastAsia="宋体" w:cs="宋体"/>
          <w:b/>
          <w:color w:val="FF0000"/>
          <w:sz w:val="32"/>
          <w:szCs w:val="32"/>
        </w:rPr>
        <w:t>山东金岭矿业股份有限公司</w:t>
      </w:r>
    </w:p>
    <w:p>
      <w:pPr>
        <w:tabs>
          <w:tab w:val="left" w:pos="3240"/>
        </w:tabs>
        <w:spacing w:line="360" w:lineRule="auto"/>
        <w:jc w:val="center"/>
        <w:rPr>
          <w:rFonts w:hint="eastAsia" w:ascii="宋体" w:hAnsi="宋体" w:eastAsia="宋体" w:cs="宋体"/>
          <w:b/>
          <w:color w:val="FF0000"/>
          <w:sz w:val="32"/>
          <w:szCs w:val="32"/>
        </w:rPr>
      </w:pPr>
      <w:r>
        <w:rPr>
          <w:rFonts w:hint="eastAsia" w:ascii="宋体" w:hAnsi="宋体" w:eastAsia="宋体" w:cs="宋体"/>
          <w:b/>
          <w:color w:val="FF0000"/>
          <w:sz w:val="32"/>
          <w:szCs w:val="32"/>
        </w:rPr>
        <w:t>关于股东权益变动的提示性公告</w:t>
      </w:r>
    </w:p>
    <w:p>
      <w:pPr>
        <w:tabs>
          <w:tab w:val="left" w:pos="3240"/>
        </w:tabs>
        <w:spacing w:line="360" w:lineRule="auto"/>
        <w:ind w:firstLine="602" w:firstLineChars="250"/>
        <w:jc w:val="left"/>
        <w:rPr>
          <w:rFonts w:hint="eastAsia" w:ascii="宋体" w:hAnsi="宋体" w:eastAsia="宋体" w:cs="宋体"/>
          <w:b/>
          <w:sz w:val="24"/>
        </w:rPr>
      </w:pPr>
    </w:p>
    <w:p>
      <w:pPr>
        <w:widowControl/>
        <w:pBdr>
          <w:top w:val="single" w:color="auto" w:sz="4" w:space="1"/>
          <w:left w:val="single" w:color="auto" w:sz="4" w:space="4"/>
          <w:bottom w:val="single" w:color="auto" w:sz="4" w:space="1"/>
          <w:right w:val="single" w:color="auto" w:sz="4" w:space="19"/>
        </w:pBdr>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本公司及董事会全体成员保证信息披露的内容真实、准确、完整，没有虚假记载、误导性陈述或重大遗漏。</w:t>
      </w:r>
    </w:p>
    <w:p>
      <w:pPr>
        <w:keepNext w:val="0"/>
        <w:keepLines w:val="0"/>
        <w:pageBreakBefore w:val="0"/>
        <w:widowControl w:val="0"/>
        <w:tabs>
          <w:tab w:val="left" w:pos="3240"/>
        </w:tabs>
        <w:kinsoku/>
        <w:wordWrap/>
        <w:overflowPunct/>
        <w:topLinePunct w:val="0"/>
        <w:autoSpaceDE/>
        <w:autoSpaceDN/>
        <w:bidi w:val="0"/>
        <w:adjustRightInd/>
        <w:snapToGrid/>
        <w:spacing w:line="360" w:lineRule="auto"/>
        <w:ind w:firstLine="482" w:firstLineChars="200"/>
        <w:jc w:val="left"/>
        <w:textAlignment w:val="auto"/>
        <w:outlineLvl w:val="0"/>
        <w:rPr>
          <w:rFonts w:hint="eastAsia" w:ascii="宋体" w:hAnsi="宋体" w:eastAsia="宋体" w:cs="宋体"/>
          <w:b/>
          <w:sz w:val="24"/>
          <w:szCs w:val="24"/>
        </w:rPr>
      </w:pPr>
    </w:p>
    <w:p>
      <w:pPr>
        <w:keepNext w:val="0"/>
        <w:keepLines w:val="0"/>
        <w:pageBreakBefore w:val="0"/>
        <w:widowControl w:val="0"/>
        <w:tabs>
          <w:tab w:val="left" w:pos="3240"/>
        </w:tabs>
        <w:kinsoku/>
        <w:wordWrap/>
        <w:overflowPunct/>
        <w:topLinePunct w:val="0"/>
        <w:autoSpaceDE/>
        <w:autoSpaceDN/>
        <w:bidi w:val="0"/>
        <w:adjustRightInd/>
        <w:snapToGrid/>
        <w:spacing w:line="360" w:lineRule="auto"/>
        <w:ind w:firstLine="482" w:firstLineChars="200"/>
        <w:jc w:val="left"/>
        <w:textAlignment w:val="auto"/>
        <w:outlineLvl w:val="0"/>
        <w:rPr>
          <w:rFonts w:hint="eastAsia" w:ascii="宋体" w:hAnsi="宋体" w:eastAsia="宋体" w:cs="宋体"/>
          <w:b/>
        </w:rPr>
      </w:pPr>
      <w:r>
        <w:rPr>
          <w:rFonts w:hint="eastAsia" w:ascii="宋体" w:hAnsi="宋体" w:eastAsia="宋体" w:cs="宋体"/>
          <w:b/>
          <w:sz w:val="24"/>
          <w:szCs w:val="24"/>
        </w:rPr>
        <w:t>重要内容提示：</w:t>
      </w:r>
      <w:r>
        <w:rPr>
          <w:rFonts w:hint="eastAsia" w:ascii="宋体" w:hAnsi="宋体" w:eastAsia="宋体" w:cs="宋体"/>
          <w:b/>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1、</w:t>
      </w:r>
      <w:r>
        <w:rPr>
          <w:rFonts w:hint="eastAsia" w:ascii="宋体" w:hAnsi="宋体" w:eastAsia="宋体" w:cs="宋体"/>
          <w:b w:val="0"/>
          <w:bCs/>
          <w:sz w:val="24"/>
          <w:szCs w:val="24"/>
        </w:rPr>
        <w:t>本次权益变动</w:t>
      </w:r>
      <w:r>
        <w:rPr>
          <w:rFonts w:hint="eastAsia" w:eastAsia="宋体" w:cs="宋体"/>
          <w:b w:val="0"/>
          <w:bCs/>
          <w:sz w:val="24"/>
          <w:szCs w:val="24"/>
          <w:lang w:val="en-US" w:eastAsia="zh-CN"/>
        </w:rPr>
        <w:t>涉及股份表决权</w:t>
      </w:r>
      <w:r>
        <w:rPr>
          <w:rFonts w:hint="eastAsia" w:cs="宋体"/>
          <w:b w:val="0"/>
          <w:bCs/>
          <w:sz w:val="24"/>
          <w:szCs w:val="24"/>
          <w:lang w:val="en-US" w:eastAsia="zh-CN"/>
        </w:rPr>
        <w:t>委托</w:t>
      </w:r>
      <w:r>
        <w:rPr>
          <w:rFonts w:hint="eastAsia" w:eastAsia="宋体" w:cs="宋体"/>
          <w:b w:val="0"/>
          <w:bCs/>
          <w:sz w:val="24"/>
          <w:szCs w:val="24"/>
          <w:lang w:val="en-US" w:eastAsia="zh-CN"/>
        </w:rPr>
        <w:t>，</w:t>
      </w:r>
      <w:r>
        <w:rPr>
          <w:rFonts w:hint="eastAsia" w:ascii="宋体" w:hAnsi="宋体" w:eastAsia="宋体" w:cs="宋体"/>
          <w:b w:val="0"/>
          <w:bCs/>
          <w:sz w:val="24"/>
          <w:szCs w:val="24"/>
        </w:rPr>
        <w:t>不涉及股份过户，不触及要约收购事宜。</w:t>
      </w:r>
    </w:p>
    <w:p>
      <w:pPr>
        <w:keepNext w:val="0"/>
        <w:keepLines w:val="0"/>
        <w:pageBreakBefore w:val="0"/>
        <w:widowControl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rPr>
      </w:pPr>
      <w:r>
        <w:rPr>
          <w:rFonts w:hint="eastAsia" w:eastAsia="宋体" w:cs="宋体"/>
          <w:b w:val="0"/>
          <w:bCs/>
          <w:sz w:val="24"/>
          <w:szCs w:val="24"/>
          <w:lang w:val="en-US" w:eastAsia="zh-CN"/>
        </w:rPr>
        <w:t>2</w:t>
      </w:r>
      <w:r>
        <w:rPr>
          <w:rFonts w:hint="eastAsia" w:ascii="宋体" w:hAnsi="宋体" w:eastAsia="宋体" w:cs="宋体"/>
          <w:b w:val="0"/>
          <w:bCs/>
          <w:sz w:val="24"/>
          <w:szCs w:val="24"/>
          <w:lang w:val="en-US" w:eastAsia="zh-CN"/>
        </w:rPr>
        <w:t>、</w:t>
      </w:r>
      <w:r>
        <w:rPr>
          <w:rFonts w:hint="eastAsia" w:ascii="宋体" w:hAnsi="宋体" w:eastAsia="宋体" w:cs="宋体"/>
          <w:b w:val="0"/>
          <w:bCs/>
          <w:sz w:val="24"/>
          <w:szCs w:val="24"/>
        </w:rPr>
        <w:t>本次权益变动不会导致</w:t>
      </w:r>
      <w:r>
        <w:rPr>
          <w:rFonts w:hint="eastAsia" w:eastAsia="宋体" w:cs="宋体"/>
          <w:b w:val="0"/>
          <w:bCs/>
          <w:sz w:val="24"/>
          <w:szCs w:val="24"/>
          <w:lang w:val="en-US" w:eastAsia="zh-CN"/>
        </w:rPr>
        <w:t>金岭矿业</w:t>
      </w:r>
      <w:r>
        <w:rPr>
          <w:rFonts w:hint="eastAsia" w:ascii="宋体" w:hAnsi="宋体" w:eastAsia="宋体" w:cs="宋体"/>
          <w:b w:val="0"/>
          <w:bCs/>
          <w:sz w:val="24"/>
          <w:szCs w:val="24"/>
        </w:rPr>
        <w:t>实际控制人发生变化。</w:t>
      </w:r>
    </w:p>
    <w:p>
      <w:pPr>
        <w:keepNext w:val="0"/>
        <w:keepLines w:val="0"/>
        <w:pageBreakBefore w:val="0"/>
        <w:widowControl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rPr>
      </w:pPr>
    </w:p>
    <w:p>
      <w:pPr>
        <w:keepNext w:val="0"/>
        <w:keepLines w:val="0"/>
        <w:pageBreakBefore w:val="0"/>
        <w:tabs>
          <w:tab w:val="left" w:pos="3240"/>
        </w:tabs>
        <w:kinsoku/>
        <w:wordWrap/>
        <w:overflowPunct/>
        <w:topLinePunct w:val="0"/>
        <w:autoSpaceDE/>
        <w:autoSpaceDN/>
        <w:bidi w:val="0"/>
        <w:adjustRightInd/>
        <w:snapToGrid/>
        <w:spacing w:line="360" w:lineRule="auto"/>
        <w:ind w:firstLine="482" w:firstLineChars="200"/>
        <w:jc w:val="left"/>
        <w:textAlignment w:val="auto"/>
        <w:outlineLvl w:val="0"/>
        <w:rPr>
          <w:rFonts w:hint="eastAsia" w:ascii="宋体" w:hAnsi="宋体" w:eastAsia="宋体" w:cs="宋体"/>
          <w:b/>
        </w:rPr>
      </w:pPr>
      <w:r>
        <w:rPr>
          <w:rFonts w:hint="eastAsia" w:ascii="宋体" w:hAnsi="宋体" w:eastAsia="宋体" w:cs="宋体"/>
          <w:b/>
          <w:sz w:val="24"/>
          <w:szCs w:val="24"/>
        </w:rPr>
        <w:t>一、本次权益变动基本情况</w:t>
      </w:r>
      <w:r>
        <w:rPr>
          <w:rFonts w:hint="eastAsia" w:ascii="宋体" w:hAnsi="宋体" w:eastAsia="宋体" w:cs="宋体"/>
          <w:b/>
        </w:rPr>
        <w:t xml:space="preserve"> </w:t>
      </w:r>
    </w:p>
    <w:p>
      <w:pPr>
        <w:keepNext w:val="0"/>
        <w:keepLines w:val="0"/>
        <w:pageBreakBefore w:val="0"/>
        <w:widowControl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rPr>
      </w:pPr>
      <w:r>
        <w:rPr>
          <w:rFonts w:hint="eastAsia" w:eastAsia="宋体" w:cs="宋体"/>
          <w:b w:val="0"/>
          <w:bCs/>
          <w:sz w:val="24"/>
          <w:szCs w:val="24"/>
          <w:lang w:val="en-US" w:eastAsia="zh-CN"/>
        </w:rPr>
        <w:t>2023年8月28日，山东金岭矿业股份有限公司（以下简称“公司”或“金岭矿业”）接到控股股东山东金岭铁矿有限公司（以下简称“金岭铁矿”）通知，</w:t>
      </w:r>
      <w:r>
        <w:rPr>
          <w:rFonts w:hint="eastAsia" w:ascii="宋体" w:hAnsi="宋体" w:eastAsia="宋体" w:cs="宋体"/>
          <w:b w:val="0"/>
          <w:bCs/>
          <w:sz w:val="24"/>
          <w:szCs w:val="24"/>
        </w:rPr>
        <w:t>为贯彻落实山东省国资委要求，推动省属企业优化管理结构，提高省属企业管理水平和运营效率，进一步推动上市公司高质量发展，</w:t>
      </w:r>
      <w:r>
        <w:rPr>
          <w:rFonts w:hint="eastAsia" w:ascii="宋体" w:hAnsi="宋体" w:eastAsia="宋体" w:cs="宋体"/>
          <w:sz w:val="24"/>
          <w:szCs w:val="24"/>
          <w:lang w:val="en-US" w:eastAsia="zh-CN"/>
        </w:rPr>
        <w:t>2023年8月</w:t>
      </w:r>
      <w:r>
        <w:rPr>
          <w:rFonts w:hint="eastAsia" w:eastAsia="宋体" w:cs="宋体"/>
          <w:sz w:val="24"/>
          <w:szCs w:val="24"/>
          <w:lang w:val="en-US" w:eastAsia="zh-CN"/>
        </w:rPr>
        <w:t>28</w:t>
      </w:r>
      <w:r>
        <w:rPr>
          <w:rFonts w:hint="eastAsia" w:ascii="宋体" w:hAnsi="宋体" w:eastAsia="宋体" w:cs="宋体"/>
          <w:sz w:val="24"/>
          <w:szCs w:val="24"/>
          <w:lang w:val="en-US" w:eastAsia="zh-CN"/>
        </w:rPr>
        <w:t>日，</w:t>
      </w:r>
      <w:r>
        <w:rPr>
          <w:rFonts w:hint="eastAsia" w:eastAsia="宋体" w:cs="宋体"/>
          <w:sz w:val="24"/>
          <w:szCs w:val="24"/>
          <w:lang w:val="en-US" w:eastAsia="zh-CN"/>
        </w:rPr>
        <w:t>金岭铁矿</w:t>
      </w:r>
      <w:r>
        <w:rPr>
          <w:rFonts w:hint="eastAsia" w:ascii="宋体" w:hAnsi="宋体" w:eastAsia="宋体" w:cs="宋体"/>
          <w:sz w:val="24"/>
          <w:szCs w:val="24"/>
          <w:lang w:val="en-US" w:eastAsia="zh-CN"/>
        </w:rPr>
        <w:t>与</w:t>
      </w:r>
      <w:r>
        <w:rPr>
          <w:rFonts w:hint="eastAsia" w:eastAsia="宋体" w:cs="宋体"/>
          <w:sz w:val="24"/>
          <w:szCs w:val="24"/>
          <w:lang w:val="en-US" w:eastAsia="zh-CN"/>
        </w:rPr>
        <w:t>山东钢铁集团有限公司（以下简称“山钢集团”）</w:t>
      </w:r>
      <w:r>
        <w:rPr>
          <w:rFonts w:hint="eastAsia" w:ascii="宋体" w:hAnsi="宋体" w:eastAsia="宋体" w:cs="宋体"/>
          <w:sz w:val="24"/>
          <w:szCs w:val="24"/>
          <w:lang w:val="en-US" w:eastAsia="zh-CN"/>
        </w:rPr>
        <w:t>签订了《</w:t>
      </w:r>
      <w:r>
        <w:rPr>
          <w:rFonts w:hint="eastAsia" w:ascii="宋体" w:hAnsi="宋体" w:eastAsia="宋体" w:cs="宋体"/>
          <w:b w:val="0"/>
          <w:bCs/>
          <w:sz w:val="24"/>
          <w:szCs w:val="24"/>
        </w:rPr>
        <w:t>山东金岭铁矿有限公司与山东钢铁集团有限公司之股份托管协议</w:t>
      </w:r>
      <w:r>
        <w:rPr>
          <w:rFonts w:hint="eastAsia" w:ascii="宋体" w:hAnsi="宋体" w:eastAsia="宋体" w:cs="宋体"/>
          <w:sz w:val="24"/>
          <w:szCs w:val="24"/>
          <w:lang w:val="en-US" w:eastAsia="zh-CN"/>
        </w:rPr>
        <w:t>》</w:t>
      </w:r>
      <w:r>
        <w:rPr>
          <w:rFonts w:hint="eastAsia" w:eastAsia="宋体" w:cs="宋体"/>
          <w:sz w:val="24"/>
          <w:szCs w:val="24"/>
          <w:lang w:val="en-US" w:eastAsia="zh-CN"/>
        </w:rPr>
        <w:t>（以下简称“《股份托管协议》”）</w:t>
      </w:r>
      <w:r>
        <w:rPr>
          <w:rFonts w:hint="eastAsia" w:ascii="宋体" w:hAnsi="宋体" w:eastAsia="宋体" w:cs="宋体"/>
          <w:sz w:val="24"/>
          <w:szCs w:val="24"/>
          <w:lang w:val="en-US" w:eastAsia="zh-CN"/>
        </w:rPr>
        <w:t>，</w:t>
      </w:r>
      <w:r>
        <w:rPr>
          <w:rFonts w:hint="eastAsia" w:eastAsia="宋体" w:cs="宋体"/>
          <w:sz w:val="24"/>
          <w:szCs w:val="24"/>
          <w:lang w:val="en-US" w:eastAsia="zh-CN"/>
        </w:rPr>
        <w:t>金岭铁矿</w:t>
      </w:r>
      <w:r>
        <w:rPr>
          <w:rFonts w:hint="eastAsia" w:ascii="宋体" w:hAnsi="宋体" w:eastAsia="宋体" w:cs="宋体"/>
          <w:sz w:val="24"/>
          <w:szCs w:val="24"/>
          <w:lang w:val="en-US" w:eastAsia="zh-CN"/>
        </w:rPr>
        <w:t>将持有的金岭矿业347,740,145股股份（占金岭矿业总股本的58.41%）所对应的协议约定的股东权利无条件且不可撤销地全权委托山钢集团行使。本次</w:t>
      </w:r>
      <w:r>
        <w:rPr>
          <w:rFonts w:hint="eastAsia" w:cs="宋体"/>
          <w:sz w:val="24"/>
          <w:szCs w:val="24"/>
          <w:lang w:val="en-US" w:eastAsia="zh-CN"/>
        </w:rPr>
        <w:t>权益变动</w:t>
      </w:r>
      <w:r>
        <w:rPr>
          <w:rFonts w:hint="eastAsia" w:ascii="宋体" w:hAnsi="宋体" w:eastAsia="宋体" w:cs="宋体"/>
          <w:sz w:val="24"/>
          <w:szCs w:val="24"/>
          <w:lang w:val="en-US" w:eastAsia="zh-CN"/>
        </w:rPr>
        <w:t>后，山钢集团能够直接支配占</w:t>
      </w:r>
      <w:r>
        <w:rPr>
          <w:rFonts w:hint="eastAsia" w:eastAsia="宋体" w:cs="宋体"/>
          <w:sz w:val="24"/>
          <w:szCs w:val="24"/>
          <w:lang w:val="en-US" w:eastAsia="zh-CN"/>
        </w:rPr>
        <w:t>公司</w:t>
      </w:r>
      <w:r>
        <w:rPr>
          <w:rFonts w:hint="eastAsia" w:ascii="宋体" w:hAnsi="宋体" w:eastAsia="宋体" w:cs="宋体"/>
          <w:sz w:val="24"/>
          <w:szCs w:val="24"/>
          <w:lang w:val="en-US" w:eastAsia="zh-CN"/>
        </w:rPr>
        <w:t>总股本58.41%股份的表决权</w:t>
      </w:r>
      <w:r>
        <w:rPr>
          <w:rFonts w:hint="eastAsia" w:eastAsia="宋体" w:cs="宋体"/>
          <w:sz w:val="24"/>
          <w:szCs w:val="24"/>
          <w:lang w:val="en-US" w:eastAsia="zh-CN"/>
        </w:rPr>
        <w:t>，公司实际控制人不变，仍为山东省人民</w:t>
      </w:r>
      <w:bookmarkStart w:id="0" w:name="_GoBack"/>
      <w:bookmarkEnd w:id="0"/>
      <w:r>
        <w:rPr>
          <w:rFonts w:hint="eastAsia" w:eastAsia="宋体" w:cs="宋体"/>
          <w:sz w:val="24"/>
          <w:szCs w:val="24"/>
          <w:lang w:val="en-US" w:eastAsia="zh-CN"/>
        </w:rPr>
        <w:t>政府国有资产监督管理委员会。</w:t>
      </w:r>
    </w:p>
    <w:p>
      <w:pPr>
        <w:pStyle w:val="4"/>
        <w:keepNext w:val="0"/>
        <w:keepLines w:val="0"/>
        <w:pageBreakBefore w:val="0"/>
        <w:kinsoku/>
        <w:wordWrap/>
        <w:overflowPunct/>
        <w:topLinePunct w:val="0"/>
        <w:autoSpaceDE/>
        <w:autoSpaceDN/>
        <w:bidi w:val="0"/>
        <w:adjustRightInd/>
        <w:snapToGrid/>
        <w:spacing w:before="120" w:beforeLines="50" w:line="360" w:lineRule="auto"/>
        <w:ind w:firstLine="480" w:firstLineChars="200"/>
        <w:jc w:val="both"/>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本次</w:t>
      </w:r>
      <w:r>
        <w:rPr>
          <w:rFonts w:hint="eastAsia" w:cs="宋体"/>
          <w:color w:val="000000"/>
          <w:sz w:val="24"/>
          <w:szCs w:val="24"/>
          <w:lang w:val="en-US" w:eastAsia="zh-CN"/>
        </w:rPr>
        <w:t>权益变动</w:t>
      </w:r>
      <w:r>
        <w:rPr>
          <w:rFonts w:hint="eastAsia" w:ascii="宋体" w:hAnsi="宋体" w:eastAsia="宋体" w:cs="宋体"/>
          <w:color w:val="000000"/>
          <w:sz w:val="24"/>
          <w:szCs w:val="24"/>
        </w:rPr>
        <w:t>前，山钢集团通过全资子公司金岭铁矿间接持有</w:t>
      </w:r>
      <w:r>
        <w:rPr>
          <w:rFonts w:hint="eastAsia" w:eastAsia="宋体" w:cs="宋体"/>
          <w:b w:val="0"/>
          <w:bCs/>
          <w:sz w:val="24"/>
          <w:szCs w:val="24"/>
          <w:lang w:val="en-US" w:eastAsia="zh-CN"/>
        </w:rPr>
        <w:t>金岭矿业</w:t>
      </w:r>
      <w:r>
        <w:rPr>
          <w:rFonts w:hint="eastAsia" w:ascii="宋体" w:hAnsi="宋体" w:eastAsia="宋体" w:cs="宋体"/>
          <w:color w:val="000000"/>
          <w:sz w:val="24"/>
          <w:szCs w:val="24"/>
        </w:rPr>
        <w:t>347,740,145股股份（占</w:t>
      </w:r>
      <w:r>
        <w:rPr>
          <w:rFonts w:hint="eastAsia" w:eastAsia="宋体" w:cs="宋体"/>
          <w:b w:val="0"/>
          <w:bCs/>
          <w:sz w:val="24"/>
          <w:szCs w:val="24"/>
          <w:lang w:val="en-US" w:eastAsia="zh-CN"/>
        </w:rPr>
        <w:t>金岭矿业</w:t>
      </w:r>
      <w:r>
        <w:rPr>
          <w:rFonts w:hint="eastAsia" w:ascii="宋体" w:hAnsi="宋体" w:eastAsia="宋体" w:cs="宋体"/>
          <w:color w:val="000000"/>
          <w:sz w:val="24"/>
          <w:szCs w:val="24"/>
        </w:rPr>
        <w:t>总股本的58.41%）。</w:t>
      </w:r>
      <w:r>
        <w:rPr>
          <w:rFonts w:hint="eastAsia" w:eastAsia="宋体" w:cs="宋体"/>
          <w:b w:val="0"/>
          <w:bCs/>
          <w:sz w:val="24"/>
          <w:szCs w:val="24"/>
          <w:lang w:val="en-US" w:eastAsia="zh-CN"/>
        </w:rPr>
        <w:t>金岭矿业</w:t>
      </w:r>
      <w:r>
        <w:rPr>
          <w:rFonts w:hint="eastAsia" w:ascii="宋体" w:hAnsi="宋体" w:eastAsia="宋体" w:cs="宋体"/>
          <w:color w:val="000000"/>
          <w:sz w:val="24"/>
          <w:szCs w:val="24"/>
        </w:rPr>
        <w:t>与控股股东及实际控制人关系图如下：</w:t>
      </w:r>
    </w:p>
    <w:p>
      <w:pPr>
        <w:pStyle w:val="4"/>
        <w:keepNext w:val="0"/>
        <w:keepLines w:val="0"/>
        <w:pageBreakBefore w:val="0"/>
        <w:kinsoku/>
        <w:wordWrap/>
        <w:overflowPunct/>
        <w:topLinePunct w:val="0"/>
        <w:autoSpaceDE/>
        <w:autoSpaceDN/>
        <w:bidi w:val="0"/>
        <w:adjustRightInd/>
        <w:snapToGrid/>
        <w:spacing w:before="120" w:beforeLines="50" w:line="360" w:lineRule="auto"/>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drawing>
          <wp:inline distT="0" distB="0" distL="114300" distR="114300">
            <wp:extent cx="4895215" cy="3068955"/>
            <wp:effectExtent l="0" t="0" r="63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895215" cy="3068955"/>
                    </a:xfrm>
                    <a:prstGeom prst="rect">
                      <a:avLst/>
                    </a:prstGeom>
                    <a:noFill/>
                    <a:ln>
                      <a:noFill/>
                    </a:ln>
                  </pic:spPr>
                </pic:pic>
              </a:graphicData>
            </a:graphic>
          </wp:inline>
        </w:drawing>
      </w:r>
    </w:p>
    <w:p>
      <w:pPr>
        <w:pStyle w:val="4"/>
        <w:keepNext w:val="0"/>
        <w:keepLines w:val="0"/>
        <w:pageBreakBefore w:val="0"/>
        <w:kinsoku/>
        <w:wordWrap/>
        <w:overflowPunct/>
        <w:topLinePunct w:val="0"/>
        <w:autoSpaceDE/>
        <w:autoSpaceDN/>
        <w:bidi w:val="0"/>
        <w:adjustRightInd/>
        <w:snapToGrid/>
        <w:spacing w:before="120" w:beforeLines="50"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本次</w:t>
      </w:r>
      <w:r>
        <w:rPr>
          <w:rFonts w:hint="eastAsia" w:cs="宋体"/>
          <w:color w:val="000000"/>
          <w:sz w:val="24"/>
          <w:szCs w:val="24"/>
          <w:lang w:val="en-US" w:eastAsia="zh-CN"/>
        </w:rPr>
        <w:t>权益变动</w:t>
      </w:r>
      <w:r>
        <w:rPr>
          <w:rFonts w:hint="eastAsia" w:ascii="宋体" w:hAnsi="宋体" w:eastAsia="宋体" w:cs="宋体"/>
          <w:color w:val="000000"/>
          <w:sz w:val="24"/>
          <w:szCs w:val="24"/>
        </w:rPr>
        <w:t>后，山钢集团能够直接支配占</w:t>
      </w:r>
      <w:r>
        <w:rPr>
          <w:rFonts w:hint="eastAsia" w:eastAsia="宋体" w:cs="宋体"/>
          <w:b w:val="0"/>
          <w:bCs/>
          <w:sz w:val="24"/>
          <w:szCs w:val="24"/>
          <w:lang w:val="en-US" w:eastAsia="zh-CN"/>
        </w:rPr>
        <w:t>金岭矿业</w:t>
      </w:r>
      <w:r>
        <w:rPr>
          <w:rFonts w:hint="eastAsia" w:ascii="宋体" w:hAnsi="宋体" w:eastAsia="宋体" w:cs="宋体"/>
          <w:color w:val="000000"/>
          <w:sz w:val="24"/>
          <w:szCs w:val="24"/>
        </w:rPr>
        <w:t>总股本58.41%股份的表决权。</w:t>
      </w:r>
      <w:r>
        <w:rPr>
          <w:rFonts w:hint="eastAsia" w:eastAsia="宋体" w:cs="宋体"/>
          <w:b w:val="0"/>
          <w:bCs/>
          <w:sz w:val="24"/>
          <w:szCs w:val="24"/>
          <w:lang w:val="en-US" w:eastAsia="zh-CN"/>
        </w:rPr>
        <w:t>金岭矿业</w:t>
      </w:r>
      <w:r>
        <w:rPr>
          <w:rFonts w:hint="eastAsia" w:ascii="宋体" w:hAnsi="宋体" w:eastAsia="宋体" w:cs="宋体"/>
          <w:color w:val="000000"/>
          <w:sz w:val="24"/>
          <w:szCs w:val="24"/>
        </w:rPr>
        <w:t>与控股股东及实际控制人关系图如下：</w:t>
      </w:r>
    </w:p>
    <w:p>
      <w:pPr>
        <w:keepNext w:val="0"/>
        <w:keepLines w:val="0"/>
        <w:pageBreakBefore w:val="0"/>
        <w:widowControl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rPr>
      </w:pPr>
      <w:r>
        <w:rPr>
          <w:rFonts w:hint="eastAsia" w:ascii="宋体" w:hAnsi="宋体" w:eastAsia="宋体" w:cs="宋体"/>
          <w:color w:val="000000"/>
          <w:sz w:val="24"/>
          <w:szCs w:val="24"/>
        </w:rPr>
        <w:drawing>
          <wp:inline distT="0" distB="0" distL="114300" distR="114300">
            <wp:extent cx="5177155" cy="3514090"/>
            <wp:effectExtent l="0" t="0" r="4445" b="1016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6"/>
                    <a:stretch>
                      <a:fillRect/>
                    </a:stretch>
                  </pic:blipFill>
                  <pic:spPr>
                    <a:xfrm>
                      <a:off x="0" y="0"/>
                      <a:ext cx="5177155" cy="3514090"/>
                    </a:xfrm>
                    <a:prstGeom prst="rect">
                      <a:avLst/>
                    </a:prstGeom>
                    <a:noFill/>
                    <a:ln>
                      <a:noFill/>
                    </a:ln>
                  </pic:spPr>
                </pic:pic>
              </a:graphicData>
            </a:graphic>
          </wp:inline>
        </w:drawing>
      </w:r>
    </w:p>
    <w:p>
      <w:pPr>
        <w:keepNext w:val="0"/>
        <w:keepLines w:val="0"/>
        <w:pageBreakBefore w:val="0"/>
        <w:tabs>
          <w:tab w:val="left" w:pos="3240"/>
        </w:tabs>
        <w:kinsoku/>
        <w:wordWrap/>
        <w:overflowPunct/>
        <w:topLinePunct w:val="0"/>
        <w:autoSpaceDE/>
        <w:autoSpaceDN/>
        <w:bidi w:val="0"/>
        <w:adjustRightInd/>
        <w:snapToGrid/>
        <w:spacing w:line="360" w:lineRule="auto"/>
        <w:ind w:firstLine="482" w:firstLineChars="200"/>
        <w:jc w:val="left"/>
        <w:textAlignment w:val="auto"/>
        <w:outlineLvl w:val="0"/>
        <w:rPr>
          <w:rFonts w:hint="eastAsia" w:ascii="宋体" w:hAnsi="宋体" w:eastAsia="宋体" w:cs="宋体"/>
          <w:b/>
          <w:sz w:val="24"/>
        </w:rPr>
      </w:pPr>
      <w:r>
        <w:rPr>
          <w:rFonts w:hint="eastAsia" w:ascii="宋体" w:hAnsi="宋体" w:eastAsia="宋体" w:cs="宋体"/>
          <w:b/>
          <w:sz w:val="24"/>
        </w:rPr>
        <w:t xml:space="preserve">二、相关方的基本情况 </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sz w:val="24"/>
          <w:szCs w:val="24"/>
        </w:rPr>
      </w:pPr>
      <w:r>
        <w:rPr>
          <w:rFonts w:hint="eastAsia" w:ascii="宋体" w:hAnsi="宋体" w:eastAsia="宋体" w:cs="宋体"/>
          <w:b w:val="0"/>
          <w:bCs/>
          <w:sz w:val="24"/>
          <w:szCs w:val="24"/>
        </w:rPr>
        <w:t>（一）委托方</w:t>
      </w:r>
      <w:r>
        <w:rPr>
          <w:rFonts w:hint="eastAsia" w:ascii="宋体" w:hAnsi="宋体" w:eastAsia="宋体" w:cs="宋体"/>
          <w:b/>
          <w:sz w:val="24"/>
          <w:szCs w:val="24"/>
        </w:rPr>
        <w:t xml:space="preserve"> </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lang w:eastAsia="zh-CN"/>
        </w:rPr>
      </w:pPr>
      <w:r>
        <w:rPr>
          <w:rFonts w:hint="eastAsia" w:ascii="宋体" w:hAnsi="宋体" w:eastAsia="宋体" w:cs="宋体"/>
          <w:b w:val="0"/>
          <w:bCs/>
          <w:sz w:val="24"/>
          <w:szCs w:val="24"/>
        </w:rPr>
        <w:t>公司名称：</w:t>
      </w:r>
      <w:r>
        <w:rPr>
          <w:rFonts w:hint="eastAsia" w:ascii="宋体" w:hAnsi="宋体" w:eastAsia="宋体" w:cs="宋体"/>
          <w:b w:val="0"/>
          <w:bCs/>
          <w:sz w:val="24"/>
          <w:szCs w:val="24"/>
          <w:lang w:eastAsia="zh-CN"/>
        </w:rPr>
        <w:t>山东金岭铁矿有限公司</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公司类型：有限责任公司（非自然人投资或控股的法人独资）</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统一社会信用代码：91370300164105191D</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注册资本：20</w:t>
      </w:r>
      <w:r>
        <w:rPr>
          <w:rFonts w:hint="eastAsia" w:ascii="宋体" w:hAnsi="宋体" w:eastAsia="宋体" w:cs="宋体"/>
          <w:b w:val="0"/>
          <w:bCs/>
          <w:sz w:val="24"/>
          <w:szCs w:val="24"/>
          <w:lang w:val="en-US" w:eastAsia="zh-CN"/>
        </w:rPr>
        <w:t>,</w:t>
      </w:r>
      <w:r>
        <w:rPr>
          <w:rFonts w:hint="eastAsia" w:ascii="宋体" w:hAnsi="宋体" w:eastAsia="宋体" w:cs="宋体"/>
          <w:b w:val="0"/>
          <w:bCs/>
          <w:sz w:val="24"/>
          <w:szCs w:val="24"/>
        </w:rPr>
        <w:t>000万元人民币</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住所：山东省淄博市张店区中埠镇</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法定代表人：付博</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成立时间：1991</w:t>
      </w:r>
      <w:r>
        <w:rPr>
          <w:rFonts w:hint="eastAsia" w:ascii="宋体" w:hAnsi="宋体" w:eastAsia="宋体" w:cs="宋体"/>
          <w:b w:val="0"/>
          <w:bCs/>
          <w:sz w:val="24"/>
          <w:szCs w:val="24"/>
          <w:lang w:val="en-US" w:eastAsia="zh-CN"/>
        </w:rPr>
        <w:t>年</w:t>
      </w:r>
      <w:r>
        <w:rPr>
          <w:rFonts w:hint="eastAsia" w:ascii="宋体" w:hAnsi="宋体" w:eastAsia="宋体" w:cs="宋体"/>
          <w:b w:val="0"/>
          <w:bCs/>
          <w:sz w:val="24"/>
          <w:szCs w:val="24"/>
        </w:rPr>
        <w:t>05</w:t>
      </w:r>
      <w:r>
        <w:rPr>
          <w:rFonts w:hint="eastAsia" w:ascii="宋体" w:hAnsi="宋体" w:eastAsia="宋体" w:cs="宋体"/>
          <w:b w:val="0"/>
          <w:bCs/>
          <w:sz w:val="24"/>
          <w:szCs w:val="24"/>
          <w:lang w:val="en-US" w:eastAsia="zh-CN"/>
        </w:rPr>
        <w:t>月</w:t>
      </w:r>
      <w:r>
        <w:rPr>
          <w:rFonts w:hint="eastAsia" w:ascii="宋体" w:hAnsi="宋体" w:eastAsia="宋体" w:cs="宋体"/>
          <w:b w:val="0"/>
          <w:bCs/>
          <w:sz w:val="24"/>
          <w:szCs w:val="24"/>
        </w:rPr>
        <w:t>22</w:t>
      </w:r>
      <w:r>
        <w:rPr>
          <w:rFonts w:hint="eastAsia" w:ascii="宋体" w:hAnsi="宋体" w:eastAsia="宋体" w:cs="宋体"/>
          <w:b w:val="0"/>
          <w:bCs/>
          <w:sz w:val="24"/>
          <w:szCs w:val="24"/>
          <w:lang w:val="en-US" w:eastAsia="zh-CN"/>
        </w:rPr>
        <w:t>日</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经营范围：一般项目</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金属矿石销售;以自有资金从事投资活动</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工程管理服务</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生产线管理服务</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矿山机械销售</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机械零件、零部件销售</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货物进出口。（除依法须经批准的项目外,凭营业执照依法自主开展经营活动）</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 xml:space="preserve"> (二)受托方 </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公司</w:t>
      </w:r>
      <w:r>
        <w:rPr>
          <w:rFonts w:hint="eastAsia" w:ascii="宋体" w:hAnsi="宋体" w:eastAsia="宋体" w:cs="宋体"/>
          <w:b w:val="0"/>
          <w:bCs/>
          <w:sz w:val="24"/>
          <w:szCs w:val="24"/>
        </w:rPr>
        <w:t>名称：</w:t>
      </w:r>
      <w:r>
        <w:rPr>
          <w:rFonts w:hint="eastAsia" w:ascii="宋体" w:hAnsi="宋体" w:eastAsia="宋体" w:cs="宋体"/>
          <w:b w:val="0"/>
          <w:bCs/>
          <w:sz w:val="24"/>
          <w:szCs w:val="24"/>
          <w:lang w:eastAsia="zh-CN"/>
        </w:rPr>
        <w:t>山东钢铁集团有限公司</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公司</w:t>
      </w:r>
      <w:r>
        <w:rPr>
          <w:rFonts w:hint="eastAsia" w:ascii="宋体" w:hAnsi="宋体" w:eastAsia="宋体" w:cs="宋体"/>
          <w:b w:val="0"/>
          <w:bCs/>
          <w:sz w:val="24"/>
          <w:szCs w:val="24"/>
        </w:rPr>
        <w:t xml:space="preserve">类型：有限责任公司（国有控股） </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统一社会信用代码：</w:t>
      </w:r>
      <w:r>
        <w:rPr>
          <w:rFonts w:hint="eastAsia" w:ascii="宋体" w:hAnsi="宋体" w:eastAsia="宋体" w:cs="宋体"/>
          <w:color w:val="000000"/>
          <w:sz w:val="24"/>
          <w:szCs w:val="24"/>
        </w:rPr>
        <w:t>913700006722499338</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注册资本：11,192,989,834.00元</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住所：山东省济南市高新区舜华路2000号舜泰广场4号楼</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法定代表人：侯军</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成立时间</w:t>
      </w:r>
      <w:r>
        <w:rPr>
          <w:rFonts w:hint="eastAsia" w:ascii="宋体" w:hAnsi="宋体" w:eastAsia="宋体" w:cs="宋体"/>
          <w:b w:val="0"/>
          <w:bCs/>
          <w:sz w:val="24"/>
          <w:szCs w:val="24"/>
        </w:rPr>
        <w:t>：2008年3月17日</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经营</w:t>
      </w:r>
      <w:r>
        <w:rPr>
          <w:rFonts w:hint="eastAsia" w:ascii="宋体" w:hAnsi="宋体" w:eastAsia="宋体" w:cs="宋体"/>
          <w:b w:val="0"/>
          <w:bCs/>
          <w:sz w:val="24"/>
          <w:szCs w:val="24"/>
          <w:lang w:val="en-US" w:eastAsia="zh-CN"/>
        </w:rPr>
        <w:t>范围</w:t>
      </w:r>
      <w:r>
        <w:rPr>
          <w:rFonts w:hint="eastAsia" w:ascii="宋体" w:hAnsi="宋体" w:eastAsia="宋体" w:cs="宋体"/>
          <w:b w:val="0"/>
          <w:bCs/>
          <w:sz w:val="24"/>
          <w:szCs w:val="24"/>
        </w:rPr>
        <w:t>：以自有资金对外投资及投资管理；非融资性担保服务；企业管理咨询及服务；黑色金属冶炼、压延、加工；生铁、钢锭、钢坯、钢材、球团、焦炭及焦化产品、炼钢副产品、建筑材料、水泥及制品、水渣、铸锻件、铸铁件、标准件、铝合金、保温材料、耐火材料及制品的生产、销售；机电设备制造，机械加工；建筑安装；集团所属企业生产的产品和所需设备、原料经营及进出口（涉及经营许可制度的凭证经营）；冶金废渣、废气综合利用；工程设计及工程承包；房地产开发；房屋、设备租赁；技术开发、技术咨询服务；广告的制作、发布、代理服务；企业形象策划服务；会议及展览服务；工艺美术品及收藏品（不含象牙及其制品）销售；书、报刊及其他出版物的印刷(依法须经批准的项目，经相关部门批准后方可开展经营活动)。</w:t>
      </w:r>
    </w:p>
    <w:p>
      <w:pPr>
        <w:keepNext w:val="0"/>
        <w:keepLines w:val="0"/>
        <w:pageBreakBefore w:val="0"/>
        <w:tabs>
          <w:tab w:val="left" w:pos="3240"/>
        </w:tabs>
        <w:kinsoku/>
        <w:wordWrap/>
        <w:overflowPunct/>
        <w:topLinePunct w:val="0"/>
        <w:autoSpaceDE/>
        <w:autoSpaceDN/>
        <w:bidi w:val="0"/>
        <w:adjustRightInd/>
        <w:snapToGrid/>
        <w:spacing w:line="360" w:lineRule="auto"/>
        <w:ind w:firstLine="482" w:firstLineChars="200"/>
        <w:jc w:val="left"/>
        <w:textAlignment w:val="auto"/>
        <w:outlineLvl w:val="0"/>
        <w:rPr>
          <w:rFonts w:hint="eastAsia" w:ascii="宋体" w:hAnsi="宋体" w:eastAsia="宋体" w:cs="宋体"/>
          <w:b/>
        </w:rPr>
      </w:pPr>
      <w:r>
        <w:rPr>
          <w:rFonts w:hint="eastAsia" w:ascii="宋体" w:hAnsi="宋体" w:eastAsia="宋体" w:cs="宋体"/>
          <w:b/>
          <w:sz w:val="24"/>
        </w:rPr>
        <w:t>三、《股份托管协议》的主要内容</w:t>
      </w:r>
      <w:r>
        <w:rPr>
          <w:rFonts w:hint="eastAsia" w:ascii="宋体" w:hAnsi="宋体" w:eastAsia="宋体" w:cs="宋体"/>
          <w:b/>
        </w:rPr>
        <w:t xml:space="preserve"> </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山钢集团与金岭铁矿于2023年</w:t>
      </w:r>
      <w:r>
        <w:rPr>
          <w:rFonts w:hint="eastAsia" w:eastAsia="宋体" w:cs="宋体"/>
          <w:b w:val="0"/>
          <w:bCs/>
          <w:sz w:val="24"/>
          <w:szCs w:val="24"/>
          <w:lang w:val="en-US" w:eastAsia="zh-CN"/>
        </w:rPr>
        <w:t>8</w:t>
      </w:r>
      <w:r>
        <w:rPr>
          <w:rFonts w:hint="eastAsia" w:ascii="宋体" w:hAnsi="宋体" w:eastAsia="宋体" w:cs="宋体"/>
          <w:b w:val="0"/>
          <w:bCs/>
          <w:sz w:val="24"/>
          <w:szCs w:val="24"/>
        </w:rPr>
        <w:t>月</w:t>
      </w:r>
      <w:r>
        <w:rPr>
          <w:rFonts w:hint="eastAsia" w:eastAsia="宋体" w:cs="宋体"/>
          <w:b w:val="0"/>
          <w:bCs/>
          <w:sz w:val="24"/>
          <w:szCs w:val="24"/>
          <w:lang w:val="en-US" w:eastAsia="zh-CN"/>
        </w:rPr>
        <w:t>28</w:t>
      </w:r>
      <w:r>
        <w:rPr>
          <w:rFonts w:hint="eastAsia" w:ascii="宋体" w:hAnsi="宋体" w:eastAsia="宋体" w:cs="宋体"/>
          <w:b w:val="0"/>
          <w:bCs/>
          <w:sz w:val="24"/>
          <w:szCs w:val="24"/>
        </w:rPr>
        <w:t>日在山东省济南市签署了《山东金岭铁矿有限公司与山东钢铁集团有限公司之股份托管协议》，协议主要内容如下：</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甲方（委托方）:山东金岭铁矿有限公司</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乙方（受托方）:山东钢铁集团有限公司</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第一条  托管标的</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甲方委托乙方管理之标的为甲方直接持有的山东金岭矿业股份有限公司（以下简称“目标公司”）347,740,145股股份(以下简称“标的股份”)的表决权，占目标公司总股本表决权的58.41%。</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第二条  托管期限</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托管期限为自本协议生效之日起至双方协商解除本协议之日止。</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第三条  托管事项</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（一）托管股份</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在托管期间，甲方同意将标的股份所对应的表决权无条件且不可撤销地全权委托乙方行使。在托管期间内，如因目标公司实施资本公积、盈余公积、未分配利润转增注册资本、其他方式增资、减资等原因，以及甲方增持或者减持目标公司股份，导致甲方持有的目标公司股份（及或股份比例）变化的，则变化后甲方所持目标公司全部股份（统称“标的股份”）对应的表决权，也将自动并不可撤销地依照本协议的约定委托予乙方行使。</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（二）托管股份表决权范围</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在托管期间，乙方作为唯一的、排他的受托人，有权依照其独立判断自行决定行使标的股份所对应的下列股东权利：</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1、依法请求、召集、主持、参加或委派股东代理人参加目标公司股东大会并行使表决权；</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2、向目标公司股东大会提出提案，并独立进行表决，包括但不限于提名、推荐、选举或罢免董事（候选人）、监事（候选人）的股东提案或议案及做出其他意思表示；</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3、对所有根据相关法律、行政法规或目标公司章程规定需要目标公司股东大会讨论、决议的事项行使表决权；</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4、签署股东大会相关会议文件。</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（三）权利及义务的保留</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在托管期间，甲方不再就标的股份行使表决权，亦不再委托除乙方以外的任何其他第三方行使标的股份的表决权；标的股份所对应的除本协议约定的表决权以外的股份收益权（含利润分配权、剩余财产分配权、 股份转让的收益等财产性权利）、股份处置权（包括股份的转让、赠予或质押、划转等处分权）仍归甲方所有。涉及标的股份的收益权（含利润分配权、剩余财产分配权、股份转让的收益等财产性权利）、股份处置权（包括股份的转让、赠予或质押、划转等处分权）议案，乙方需依据甲方的书面意见行使股东表决权。</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（四）委托书的出具配合</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甲方同意，在托管期间内，乙方依据本协议约定对目标公司股东大会的各项议案行使标的股份的表决权，不需要甲方就具体事项另行出具委托书。但如有关法律、行政法规规则、监管机构及目标公司有要求的，甲方应就具体事项的股东权利行使按相关要求向乙方出具授权委托书。</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第四条  托管责任</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乙方应在其权限范围内，在托管期限内对目标公司和标的股份尽善良管理义务，所采取的一切行动均应本着合理、审慎的态度，在任何时候均以目标公司的最大利益行动，督促目标公司管理层做出合法有效的各项经营决策，目标公司的生产、经营符合环保、安全、土地、规划等方面的各项法律法规要求，并维护目标公司的权益和声誉。</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第五条  协议生效</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协议经甲乙双方法定代表人或授权代表签字或盖章并加盖公章之日起生效。</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第六条  托管费用及支付</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（一）托管费：每年人民币50万元。</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r>
        <w:rPr>
          <w:rFonts w:hint="eastAsia" w:ascii="宋体" w:hAnsi="宋体" w:eastAsia="宋体" w:cs="宋体"/>
          <w:b w:val="0"/>
          <w:bCs/>
          <w:sz w:val="24"/>
          <w:szCs w:val="24"/>
        </w:rPr>
        <w:t>（二）托管费用按年结算，甲方应于每会计年度终了后第一个月内将上年度应支付的托管费用支付给乙方，如托管起始年度剩余时间不足一年的，则按当年实际托管时间按比例结算。</w:t>
      </w:r>
    </w:p>
    <w:p>
      <w:pPr>
        <w:keepNext w:val="0"/>
        <w:keepLines w:val="0"/>
        <w:pageBreakBefore w:val="0"/>
        <w:tabs>
          <w:tab w:val="left" w:pos="3240"/>
        </w:tabs>
        <w:kinsoku/>
        <w:wordWrap/>
        <w:overflowPunct/>
        <w:topLinePunct w:val="0"/>
        <w:autoSpaceDE/>
        <w:autoSpaceDN/>
        <w:bidi w:val="0"/>
        <w:adjustRightInd/>
        <w:snapToGrid/>
        <w:spacing w:line="360" w:lineRule="auto"/>
        <w:ind w:firstLine="482" w:firstLineChars="200"/>
        <w:jc w:val="left"/>
        <w:textAlignment w:val="auto"/>
        <w:outlineLvl w:val="0"/>
        <w:rPr>
          <w:rFonts w:hint="eastAsia" w:ascii="宋体" w:hAnsi="宋体" w:eastAsia="宋体" w:cs="宋体"/>
          <w:b/>
          <w:bCs w:val="0"/>
          <w:sz w:val="24"/>
        </w:rPr>
      </w:pPr>
      <w:r>
        <w:rPr>
          <w:rFonts w:hint="eastAsia" w:eastAsia="宋体" w:cs="宋体"/>
          <w:b/>
          <w:bCs w:val="0"/>
          <w:sz w:val="24"/>
          <w:lang w:val="en-US" w:eastAsia="zh-CN"/>
        </w:rPr>
        <w:t>四</w:t>
      </w:r>
      <w:r>
        <w:rPr>
          <w:rFonts w:hint="eastAsia" w:ascii="宋体" w:hAnsi="宋体" w:eastAsia="宋体" w:cs="宋体"/>
          <w:b/>
          <w:bCs w:val="0"/>
          <w:sz w:val="24"/>
        </w:rPr>
        <w:t>、</w:t>
      </w:r>
      <w:r>
        <w:rPr>
          <w:rFonts w:hint="eastAsia" w:eastAsia="宋体" w:cs="宋体"/>
          <w:b/>
          <w:bCs w:val="0"/>
          <w:sz w:val="24"/>
          <w:lang w:val="en-US" w:eastAsia="zh-CN"/>
        </w:rPr>
        <w:t>其他说明</w:t>
      </w:r>
      <w:r>
        <w:rPr>
          <w:rFonts w:hint="eastAsia" w:ascii="宋体" w:hAnsi="宋体" w:eastAsia="宋体" w:cs="宋体"/>
          <w:b/>
          <w:bCs w:val="0"/>
          <w:sz w:val="24"/>
        </w:rPr>
        <w:t xml:space="preserve"> </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lang w:eastAsia="zh-CN"/>
        </w:rPr>
      </w:pPr>
      <w:r>
        <w:rPr>
          <w:rFonts w:hint="eastAsia" w:eastAsia="宋体" w:cs="宋体"/>
          <w:b w:val="0"/>
          <w:bCs/>
          <w:sz w:val="24"/>
          <w:szCs w:val="24"/>
          <w:lang w:val="en-US" w:eastAsia="zh-CN"/>
        </w:rPr>
        <w:t>1、</w:t>
      </w:r>
      <w:r>
        <w:rPr>
          <w:rFonts w:hint="eastAsia" w:ascii="宋体" w:hAnsi="宋体" w:eastAsia="宋体" w:cs="宋体"/>
          <w:b w:val="0"/>
          <w:bCs/>
          <w:sz w:val="24"/>
          <w:szCs w:val="24"/>
        </w:rPr>
        <w:t>本次收购不涉及股份过户，仅为标的股权对应的除股份收益权（含利润分配权、剩余财产分配权、股份转让的收益等财产性权利）、股份处置权（包括股份的转让、赠与或质押、划转等处分权）以外的权利全部委托给</w:t>
      </w:r>
      <w:r>
        <w:rPr>
          <w:rFonts w:hint="eastAsia" w:ascii="宋体" w:hAnsi="宋体" w:eastAsia="宋体" w:cs="宋体"/>
          <w:b w:val="0"/>
          <w:bCs/>
          <w:sz w:val="24"/>
          <w:szCs w:val="24"/>
          <w:lang w:eastAsia="zh-CN"/>
        </w:rPr>
        <w:t>山钢集团</w:t>
      </w:r>
      <w:r>
        <w:rPr>
          <w:rFonts w:hint="eastAsia" w:ascii="宋体" w:hAnsi="宋体" w:eastAsia="宋体" w:cs="宋体"/>
          <w:b w:val="0"/>
          <w:bCs/>
          <w:sz w:val="24"/>
          <w:szCs w:val="24"/>
        </w:rPr>
        <w:t>管理</w:t>
      </w:r>
      <w:r>
        <w:rPr>
          <w:rFonts w:hint="eastAsia" w:eastAsia="宋体" w:cs="宋体"/>
          <w:b w:val="0"/>
          <w:bCs/>
          <w:sz w:val="24"/>
          <w:szCs w:val="24"/>
          <w:lang w:eastAsia="zh-CN"/>
        </w:rPr>
        <w:t>，</w:t>
      </w:r>
      <w:r>
        <w:rPr>
          <w:rFonts w:hint="eastAsia" w:ascii="宋体" w:hAnsi="宋体" w:eastAsia="宋体" w:cs="宋体"/>
          <w:sz w:val="24"/>
          <w:szCs w:val="24"/>
          <w:lang w:val="en-US" w:eastAsia="zh-CN"/>
        </w:rPr>
        <w:t>本次</w:t>
      </w:r>
      <w:r>
        <w:rPr>
          <w:rFonts w:hint="eastAsia" w:cs="宋体"/>
          <w:sz w:val="24"/>
          <w:szCs w:val="24"/>
          <w:lang w:val="en-US" w:eastAsia="zh-CN"/>
        </w:rPr>
        <w:t>权益变动</w:t>
      </w:r>
      <w:r>
        <w:rPr>
          <w:rFonts w:hint="eastAsia" w:ascii="宋体" w:hAnsi="宋体" w:eastAsia="宋体" w:cs="宋体"/>
          <w:sz w:val="24"/>
          <w:szCs w:val="24"/>
          <w:lang w:val="en-US" w:eastAsia="zh-CN"/>
        </w:rPr>
        <w:t>后，山钢集团能够直接支配占</w:t>
      </w:r>
      <w:r>
        <w:rPr>
          <w:rFonts w:hint="eastAsia" w:eastAsia="宋体" w:cs="宋体"/>
          <w:sz w:val="24"/>
          <w:szCs w:val="24"/>
          <w:lang w:val="en-US" w:eastAsia="zh-CN"/>
        </w:rPr>
        <w:t>公司</w:t>
      </w:r>
      <w:r>
        <w:rPr>
          <w:rFonts w:hint="eastAsia" w:ascii="宋体" w:hAnsi="宋体" w:eastAsia="宋体" w:cs="宋体"/>
          <w:sz w:val="24"/>
          <w:szCs w:val="24"/>
          <w:lang w:val="en-US" w:eastAsia="zh-CN"/>
        </w:rPr>
        <w:t>总股本58.41%股份的表决权</w:t>
      </w:r>
      <w:r>
        <w:rPr>
          <w:rFonts w:hint="eastAsia" w:eastAsia="宋体" w:cs="宋体"/>
          <w:sz w:val="24"/>
          <w:szCs w:val="24"/>
          <w:lang w:val="en-US" w:eastAsia="zh-CN"/>
        </w:rPr>
        <w:t>，公司实际控制人不变，仍为山东省人民政府国有资产监督管理委员会；</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eastAsia="宋体" w:cs="宋体"/>
          <w:b w:val="0"/>
          <w:bCs/>
          <w:sz w:val="24"/>
          <w:szCs w:val="24"/>
          <w:lang w:val="en-US" w:eastAsia="zh-CN"/>
        </w:rPr>
      </w:pPr>
      <w:r>
        <w:rPr>
          <w:rFonts w:hint="eastAsia" w:eastAsia="宋体" w:cs="宋体"/>
          <w:b w:val="0"/>
          <w:bCs/>
          <w:sz w:val="24"/>
          <w:szCs w:val="24"/>
          <w:lang w:val="en-US" w:eastAsia="zh-CN"/>
        </w:rPr>
        <w:t>2、</w:t>
      </w:r>
      <w:r>
        <w:rPr>
          <w:rFonts w:ascii="宋体" w:hAnsi="宋体" w:eastAsia="宋体" w:cs="宋体"/>
          <w:sz w:val="24"/>
          <w:szCs w:val="24"/>
        </w:rPr>
        <w:t>金岭铁矿本次</w:t>
      </w:r>
      <w:r>
        <w:rPr>
          <w:rFonts w:hint="eastAsia" w:eastAsia="宋体" w:cs="宋体"/>
          <w:sz w:val="24"/>
          <w:szCs w:val="24"/>
          <w:lang w:val="en-US" w:eastAsia="zh-CN"/>
        </w:rPr>
        <w:t>表决权的委托</w:t>
      </w:r>
      <w:r>
        <w:rPr>
          <w:rFonts w:ascii="宋体" w:hAnsi="宋体" w:eastAsia="宋体" w:cs="宋体"/>
          <w:sz w:val="24"/>
          <w:szCs w:val="24"/>
        </w:rPr>
        <w:t>不存在违反法定持股要求和原有持股承诺的情形，对公司日常生产经营不会产生影响</w:t>
      </w:r>
      <w:r>
        <w:rPr>
          <w:rFonts w:hint="eastAsia" w:eastAsia="宋体" w:cs="宋体"/>
          <w:sz w:val="24"/>
          <w:szCs w:val="24"/>
          <w:lang w:eastAsia="zh-CN"/>
        </w:rPr>
        <w:t>；</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b w:val="0"/>
          <w:bCs/>
          <w:sz w:val="24"/>
          <w:szCs w:val="24"/>
          <w:lang w:val="en-US" w:eastAsia="zh-CN"/>
        </w:rPr>
      </w:pPr>
      <w:r>
        <w:rPr>
          <w:rFonts w:hint="eastAsia" w:eastAsia="宋体" w:cs="宋体"/>
          <w:b w:val="0"/>
          <w:bCs/>
          <w:sz w:val="24"/>
          <w:szCs w:val="24"/>
          <w:lang w:val="en-US" w:eastAsia="zh-CN"/>
        </w:rPr>
        <w:t>3、公司于同日披露了《山东金岭矿业股份有限公司收购报告书摘要》及《山东金岭矿业股份有限公司简式权益变动报告书》，详见巨潮资讯网</w:t>
      </w:r>
      <w:r>
        <w:rPr>
          <w:rFonts w:ascii="宋体" w:hAnsi="宋体" w:eastAsia="宋体" w:cs="宋体"/>
          <w:sz w:val="24"/>
          <w:szCs w:val="24"/>
        </w:rPr>
        <w:t>（www.cninfo.com.cn）</w:t>
      </w:r>
      <w:r>
        <w:rPr>
          <w:rFonts w:hint="eastAsia" w:eastAsia="宋体" w:cs="宋体"/>
          <w:sz w:val="24"/>
          <w:szCs w:val="24"/>
          <w:lang w:eastAsia="zh-CN"/>
        </w:rPr>
        <w:t>，</w:t>
      </w:r>
      <w:r>
        <w:rPr>
          <w:rFonts w:hint="eastAsia" w:eastAsia="宋体" w:cs="宋体"/>
          <w:sz w:val="24"/>
          <w:szCs w:val="24"/>
          <w:lang w:val="en-US" w:eastAsia="zh-CN"/>
        </w:rPr>
        <w:t>后续公司将严格按照信息披露要求，及时履行相关信息披露义务</w:t>
      </w:r>
      <w:r>
        <w:rPr>
          <w:rFonts w:hint="eastAsia" w:eastAsia="宋体" w:cs="宋体"/>
          <w:b w:val="0"/>
          <w:bCs/>
          <w:sz w:val="24"/>
          <w:szCs w:val="24"/>
          <w:lang w:val="en-US" w:eastAsia="zh-CN"/>
        </w:rPr>
        <w:t>，敬请广大投资者理性决策，注意投资风险。</w:t>
      </w:r>
    </w:p>
    <w:p>
      <w:pPr>
        <w:keepNext w:val="0"/>
        <w:keepLines w:val="0"/>
        <w:pageBreakBefore w:val="0"/>
        <w:tabs>
          <w:tab w:val="left" w:pos="3240"/>
        </w:tabs>
        <w:kinsoku/>
        <w:wordWrap/>
        <w:overflowPunct/>
        <w:topLinePunct w:val="0"/>
        <w:autoSpaceDE/>
        <w:autoSpaceDN/>
        <w:bidi w:val="0"/>
        <w:adjustRightInd/>
        <w:snapToGrid/>
        <w:spacing w:line="360" w:lineRule="auto"/>
        <w:ind w:firstLine="480" w:firstLineChars="200"/>
        <w:jc w:val="left"/>
        <w:textAlignment w:val="auto"/>
        <w:outlineLvl w:val="0"/>
        <w:rPr>
          <w:rFonts w:hint="eastAsia" w:ascii="宋体" w:hAnsi="宋体" w:eastAsia="宋体" w:cs="宋体"/>
          <w:b w:val="0"/>
          <w:bCs/>
          <w:sz w:val="24"/>
          <w:szCs w:val="24"/>
        </w:rPr>
      </w:pPr>
    </w:p>
    <w:p>
      <w:pPr>
        <w:keepNext w:val="0"/>
        <w:keepLines w:val="0"/>
        <w:pageBreakBefore w:val="0"/>
        <w:tabs>
          <w:tab w:val="left" w:pos="3240"/>
        </w:tabs>
        <w:kinsoku/>
        <w:wordWrap/>
        <w:overflowPunct/>
        <w:topLinePunct w:val="0"/>
        <w:autoSpaceDE/>
        <w:autoSpaceDN/>
        <w:bidi w:val="0"/>
        <w:adjustRightInd/>
        <w:snapToGrid/>
        <w:spacing w:line="360" w:lineRule="auto"/>
        <w:ind w:firstLine="600" w:firstLineChars="250"/>
        <w:jc w:val="left"/>
        <w:textAlignment w:val="auto"/>
        <w:rPr>
          <w:rFonts w:hint="eastAsia" w:ascii="宋体" w:hAnsi="宋体" w:eastAsia="宋体" w:cs="宋体"/>
          <w:sz w:val="24"/>
          <w:szCs w:val="24"/>
        </w:rPr>
      </w:pPr>
      <w:r>
        <w:rPr>
          <w:rFonts w:hint="eastAsia" w:ascii="宋体" w:hAnsi="宋体" w:eastAsia="宋体" w:cs="宋体"/>
          <w:sz w:val="24"/>
          <w:szCs w:val="24"/>
        </w:rPr>
        <w:t>特此公告。</w:t>
      </w:r>
    </w:p>
    <w:p>
      <w:pPr>
        <w:keepNext w:val="0"/>
        <w:keepLines w:val="0"/>
        <w:pageBreakBefore w:val="0"/>
        <w:tabs>
          <w:tab w:val="left" w:pos="3240"/>
        </w:tabs>
        <w:kinsoku/>
        <w:wordWrap/>
        <w:overflowPunct/>
        <w:topLinePunct w:val="0"/>
        <w:autoSpaceDE/>
        <w:autoSpaceDN/>
        <w:bidi w:val="0"/>
        <w:adjustRightInd/>
        <w:snapToGrid/>
        <w:spacing w:line="360" w:lineRule="auto"/>
        <w:ind w:firstLine="600" w:firstLineChars="25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p>
    <w:p>
      <w:pPr>
        <w:keepNext w:val="0"/>
        <w:keepLines w:val="0"/>
        <w:pageBreakBefore w:val="0"/>
        <w:tabs>
          <w:tab w:val="left" w:pos="3240"/>
        </w:tabs>
        <w:kinsoku/>
        <w:wordWrap/>
        <w:overflowPunct/>
        <w:topLinePunct w:val="0"/>
        <w:autoSpaceDE/>
        <w:autoSpaceDN/>
        <w:bidi w:val="0"/>
        <w:adjustRightInd/>
        <w:snapToGrid/>
        <w:spacing w:line="360" w:lineRule="auto"/>
        <w:ind w:firstLine="5160" w:firstLineChars="2150"/>
        <w:jc w:val="left"/>
        <w:textAlignment w:val="auto"/>
        <w:rPr>
          <w:rFonts w:hint="eastAsia" w:ascii="宋体" w:hAnsi="宋体" w:eastAsia="宋体" w:cs="宋体"/>
          <w:sz w:val="24"/>
          <w:szCs w:val="24"/>
        </w:rPr>
      </w:pPr>
    </w:p>
    <w:p>
      <w:pPr>
        <w:keepNext w:val="0"/>
        <w:keepLines w:val="0"/>
        <w:pageBreakBefore w:val="0"/>
        <w:tabs>
          <w:tab w:val="left" w:pos="3240"/>
        </w:tabs>
        <w:kinsoku/>
        <w:wordWrap/>
        <w:overflowPunct/>
        <w:topLinePunct w:val="0"/>
        <w:autoSpaceDE/>
        <w:autoSpaceDN/>
        <w:bidi w:val="0"/>
        <w:adjustRightInd/>
        <w:snapToGrid/>
        <w:spacing w:line="360" w:lineRule="auto"/>
        <w:ind w:firstLine="5160" w:firstLineChars="2150"/>
        <w:jc w:val="left"/>
        <w:textAlignment w:val="auto"/>
        <w:rPr>
          <w:rFonts w:hint="eastAsia" w:ascii="宋体" w:hAnsi="宋体" w:eastAsia="宋体" w:cs="宋体"/>
          <w:sz w:val="24"/>
          <w:szCs w:val="24"/>
        </w:rPr>
      </w:pPr>
      <w:r>
        <w:rPr>
          <w:rFonts w:hint="eastAsia" w:ascii="宋体" w:hAnsi="宋体" w:eastAsia="宋体" w:cs="宋体"/>
          <w:sz w:val="24"/>
          <w:szCs w:val="24"/>
        </w:rPr>
        <w:t>山东金岭矿业股份有限公司</w:t>
      </w:r>
    </w:p>
    <w:p>
      <w:pPr>
        <w:keepNext w:val="0"/>
        <w:keepLines w:val="0"/>
        <w:pageBreakBefore w:val="0"/>
        <w:tabs>
          <w:tab w:val="left" w:pos="3240"/>
        </w:tabs>
        <w:kinsoku/>
        <w:wordWrap/>
        <w:overflowPunct/>
        <w:topLinePunct w:val="0"/>
        <w:autoSpaceDE/>
        <w:autoSpaceDN/>
        <w:bidi w:val="0"/>
        <w:adjustRightInd/>
        <w:snapToGrid/>
        <w:spacing w:line="360" w:lineRule="auto"/>
        <w:ind w:firstLine="600" w:firstLineChars="25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董事会</w:t>
      </w:r>
    </w:p>
    <w:p>
      <w:pPr>
        <w:keepNext w:val="0"/>
        <w:keepLines w:val="0"/>
        <w:pageBreakBefore w:val="0"/>
        <w:tabs>
          <w:tab w:val="left" w:pos="3240"/>
        </w:tabs>
        <w:kinsoku/>
        <w:wordWrap/>
        <w:overflowPunct/>
        <w:topLinePunct w:val="0"/>
        <w:autoSpaceDE/>
        <w:autoSpaceDN/>
        <w:bidi w:val="0"/>
        <w:adjustRightInd/>
        <w:snapToGrid/>
        <w:spacing w:line="360" w:lineRule="auto"/>
        <w:ind w:firstLine="600" w:firstLineChars="25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20</w:t>
      </w:r>
      <w:r>
        <w:rPr>
          <w:rFonts w:hint="eastAsia" w:ascii="宋体" w:hAnsi="宋体" w:eastAsia="宋体" w:cs="宋体"/>
          <w:sz w:val="24"/>
          <w:szCs w:val="24"/>
          <w:lang w:val="en-US" w:eastAsia="zh-CN"/>
        </w:rPr>
        <w:t>23</w:t>
      </w:r>
      <w:r>
        <w:rPr>
          <w:rFonts w:hint="eastAsia" w:ascii="宋体" w:hAnsi="宋体" w:eastAsia="宋体" w:cs="宋体"/>
          <w:sz w:val="24"/>
          <w:szCs w:val="24"/>
        </w:rPr>
        <w:t>年</w:t>
      </w:r>
      <w:r>
        <w:rPr>
          <w:rFonts w:hint="eastAsia" w:ascii="宋体" w:hAnsi="宋体" w:eastAsia="宋体" w:cs="宋体"/>
          <w:sz w:val="24"/>
          <w:szCs w:val="24"/>
          <w:lang w:val="en-US" w:eastAsia="zh-CN"/>
        </w:rPr>
        <w:t>8</w:t>
      </w:r>
      <w:r>
        <w:rPr>
          <w:rFonts w:hint="eastAsia" w:ascii="宋体" w:hAnsi="宋体" w:eastAsia="宋体" w:cs="宋体"/>
          <w:sz w:val="24"/>
          <w:szCs w:val="24"/>
        </w:rPr>
        <w:t>月</w:t>
      </w:r>
      <w:r>
        <w:rPr>
          <w:rFonts w:hint="eastAsia" w:eastAsia="宋体" w:cs="宋体"/>
          <w:sz w:val="24"/>
          <w:szCs w:val="24"/>
          <w:lang w:val="en-US" w:eastAsia="zh-CN"/>
        </w:rPr>
        <w:t>30</w:t>
      </w:r>
      <w:r>
        <w:rPr>
          <w:rFonts w:hint="eastAsia" w:ascii="宋体" w:hAnsi="宋体" w:eastAsia="宋体" w:cs="宋体"/>
          <w:sz w:val="24"/>
          <w:szCs w:val="24"/>
        </w:rPr>
        <w:t>日</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hint="eastAsia"/>
      </w:rPr>
    </w:pPr>
    <w:r>
      <w:rPr>
        <w:rFonts w:hint="eastAsia"/>
      </w:rPr>
      <w:drawing>
        <wp:anchor distT="0" distB="0" distL="114300" distR="114300" simplePos="0" relativeHeight="251659264" behindDoc="1" locked="0" layoutInCell="1" allowOverlap="1">
          <wp:simplePos x="0" y="0"/>
          <wp:positionH relativeFrom="column">
            <wp:posOffset>-9525</wp:posOffset>
          </wp:positionH>
          <wp:positionV relativeFrom="paragraph">
            <wp:posOffset>-48895</wp:posOffset>
          </wp:positionV>
          <wp:extent cx="1600200" cy="219075"/>
          <wp:effectExtent l="0" t="0" r="0" b="9525"/>
          <wp:wrapTight wrapText="bothSides">
            <wp:wrapPolygon>
              <wp:start x="-129" y="0"/>
              <wp:lineTo x="-129" y="20661"/>
              <wp:lineTo x="21600" y="20661"/>
              <wp:lineTo x="21600" y="0"/>
              <wp:lineTo x="-129" y="0"/>
            </wp:wrapPolygon>
          </wp:wrapTight>
          <wp:docPr id="3" name="图片 1" descr="公司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公司标志"/>
                  <pic:cNvPicPr>
                    <a:picLocks noChangeAspect="1"/>
                  </pic:cNvPicPr>
                </pic:nvPicPr>
                <pic:blipFill>
                  <a:blip r:embed="rId1"/>
                  <a:stretch>
                    <a:fillRect/>
                  </a:stretch>
                </pic:blipFill>
                <pic:spPr>
                  <a:xfrm>
                    <a:off x="0" y="0"/>
                    <a:ext cx="1600200" cy="219075"/>
                  </a:xfrm>
                  <a:prstGeom prst="rect">
                    <a:avLst/>
                  </a:prstGeom>
                  <a:noFill/>
                  <a:ln>
                    <a:noFill/>
                  </a:ln>
                </pic:spPr>
              </pic:pic>
            </a:graphicData>
          </a:graphic>
        </wp:anchor>
      </w:drawing>
    </w:r>
    <w:r>
      <w:rPr>
        <w:rFonts w:hint="eastAsia"/>
      </w:rPr>
      <w:t>董事会公告</w:t>
    </w:r>
  </w:p>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lMWE2Yjg2MWFiZTNmNjE5MDI3MTU3MzZjNjNlNGYifQ=="/>
  </w:docVars>
  <w:rsids>
    <w:rsidRoot w:val="00F52F70"/>
    <w:rsid w:val="00014436"/>
    <w:rsid w:val="00024227"/>
    <w:rsid w:val="00031CD2"/>
    <w:rsid w:val="00042CDA"/>
    <w:rsid w:val="00061605"/>
    <w:rsid w:val="000806BE"/>
    <w:rsid w:val="00081CC6"/>
    <w:rsid w:val="000A6C9F"/>
    <w:rsid w:val="000E62DA"/>
    <w:rsid w:val="000F74FF"/>
    <w:rsid w:val="0010317D"/>
    <w:rsid w:val="00106146"/>
    <w:rsid w:val="00123486"/>
    <w:rsid w:val="00137E54"/>
    <w:rsid w:val="00160CA1"/>
    <w:rsid w:val="00171F68"/>
    <w:rsid w:val="001840C4"/>
    <w:rsid w:val="001A67C3"/>
    <w:rsid w:val="001B3426"/>
    <w:rsid w:val="00200D15"/>
    <w:rsid w:val="00204D47"/>
    <w:rsid w:val="002072E6"/>
    <w:rsid w:val="00207632"/>
    <w:rsid w:val="002121F8"/>
    <w:rsid w:val="00236D86"/>
    <w:rsid w:val="00236E32"/>
    <w:rsid w:val="00244A79"/>
    <w:rsid w:val="00265CB1"/>
    <w:rsid w:val="00274687"/>
    <w:rsid w:val="00277130"/>
    <w:rsid w:val="0028118D"/>
    <w:rsid w:val="00294343"/>
    <w:rsid w:val="00295B76"/>
    <w:rsid w:val="0031073B"/>
    <w:rsid w:val="00310A2B"/>
    <w:rsid w:val="00324A5E"/>
    <w:rsid w:val="00331380"/>
    <w:rsid w:val="00352B9F"/>
    <w:rsid w:val="00352C37"/>
    <w:rsid w:val="003B688D"/>
    <w:rsid w:val="003E765D"/>
    <w:rsid w:val="003F42CA"/>
    <w:rsid w:val="00401C8D"/>
    <w:rsid w:val="00405B3B"/>
    <w:rsid w:val="00422491"/>
    <w:rsid w:val="0049105C"/>
    <w:rsid w:val="004B38D2"/>
    <w:rsid w:val="004C7E0E"/>
    <w:rsid w:val="004E2259"/>
    <w:rsid w:val="004F3F27"/>
    <w:rsid w:val="00593F3B"/>
    <w:rsid w:val="005C3483"/>
    <w:rsid w:val="005E378F"/>
    <w:rsid w:val="005F6449"/>
    <w:rsid w:val="00602828"/>
    <w:rsid w:val="00605E20"/>
    <w:rsid w:val="00606ABF"/>
    <w:rsid w:val="00624F6D"/>
    <w:rsid w:val="0063759E"/>
    <w:rsid w:val="0065723E"/>
    <w:rsid w:val="00663476"/>
    <w:rsid w:val="00666AA4"/>
    <w:rsid w:val="006D18BB"/>
    <w:rsid w:val="006D4F91"/>
    <w:rsid w:val="00707355"/>
    <w:rsid w:val="00710F0D"/>
    <w:rsid w:val="007227C6"/>
    <w:rsid w:val="007265D8"/>
    <w:rsid w:val="0073164B"/>
    <w:rsid w:val="00731A0D"/>
    <w:rsid w:val="00733AE1"/>
    <w:rsid w:val="007353A2"/>
    <w:rsid w:val="00773608"/>
    <w:rsid w:val="00782ABF"/>
    <w:rsid w:val="00796EC1"/>
    <w:rsid w:val="007A698E"/>
    <w:rsid w:val="007B0DAD"/>
    <w:rsid w:val="007C1D71"/>
    <w:rsid w:val="007D48CA"/>
    <w:rsid w:val="007E30A3"/>
    <w:rsid w:val="007F56D6"/>
    <w:rsid w:val="00827551"/>
    <w:rsid w:val="00827672"/>
    <w:rsid w:val="0084256E"/>
    <w:rsid w:val="00843A16"/>
    <w:rsid w:val="008901B1"/>
    <w:rsid w:val="008958D5"/>
    <w:rsid w:val="008A564A"/>
    <w:rsid w:val="008A7BF0"/>
    <w:rsid w:val="008C1A43"/>
    <w:rsid w:val="0090131C"/>
    <w:rsid w:val="0091673F"/>
    <w:rsid w:val="00923CC4"/>
    <w:rsid w:val="0092531E"/>
    <w:rsid w:val="009271E5"/>
    <w:rsid w:val="009436C7"/>
    <w:rsid w:val="009778CC"/>
    <w:rsid w:val="009839BB"/>
    <w:rsid w:val="009A078F"/>
    <w:rsid w:val="009A091C"/>
    <w:rsid w:val="009A3247"/>
    <w:rsid w:val="009C6A48"/>
    <w:rsid w:val="00A00FC6"/>
    <w:rsid w:val="00A37A6A"/>
    <w:rsid w:val="00A62FE3"/>
    <w:rsid w:val="00A70FE3"/>
    <w:rsid w:val="00AA3393"/>
    <w:rsid w:val="00AB2D58"/>
    <w:rsid w:val="00AB4C78"/>
    <w:rsid w:val="00AE25E9"/>
    <w:rsid w:val="00B55838"/>
    <w:rsid w:val="00B643EA"/>
    <w:rsid w:val="00B805BD"/>
    <w:rsid w:val="00BC53EB"/>
    <w:rsid w:val="00BE68E8"/>
    <w:rsid w:val="00C00FD7"/>
    <w:rsid w:val="00C53421"/>
    <w:rsid w:val="00C76AD5"/>
    <w:rsid w:val="00CA20B3"/>
    <w:rsid w:val="00CC3807"/>
    <w:rsid w:val="00CE230E"/>
    <w:rsid w:val="00CF7222"/>
    <w:rsid w:val="00D2583C"/>
    <w:rsid w:val="00D303C1"/>
    <w:rsid w:val="00D36282"/>
    <w:rsid w:val="00D63A30"/>
    <w:rsid w:val="00D67840"/>
    <w:rsid w:val="00D82C95"/>
    <w:rsid w:val="00DA1687"/>
    <w:rsid w:val="00DB0F5C"/>
    <w:rsid w:val="00DE4D7A"/>
    <w:rsid w:val="00DE530A"/>
    <w:rsid w:val="00DF541A"/>
    <w:rsid w:val="00E221B9"/>
    <w:rsid w:val="00E32CD8"/>
    <w:rsid w:val="00E44C33"/>
    <w:rsid w:val="00E47425"/>
    <w:rsid w:val="00E7315B"/>
    <w:rsid w:val="00EA17B4"/>
    <w:rsid w:val="00EC154E"/>
    <w:rsid w:val="00EC40AE"/>
    <w:rsid w:val="00ED2980"/>
    <w:rsid w:val="00F01A3E"/>
    <w:rsid w:val="00F30DE7"/>
    <w:rsid w:val="00F33E71"/>
    <w:rsid w:val="00F50F39"/>
    <w:rsid w:val="00F52F70"/>
    <w:rsid w:val="00F560FE"/>
    <w:rsid w:val="00F679B1"/>
    <w:rsid w:val="00F70BAA"/>
    <w:rsid w:val="00F75861"/>
    <w:rsid w:val="00FF7B8F"/>
    <w:rsid w:val="01150BE0"/>
    <w:rsid w:val="033E5507"/>
    <w:rsid w:val="06040145"/>
    <w:rsid w:val="07917404"/>
    <w:rsid w:val="08EE5D1C"/>
    <w:rsid w:val="0903157D"/>
    <w:rsid w:val="0B5724C8"/>
    <w:rsid w:val="0F1D69B9"/>
    <w:rsid w:val="11C360D7"/>
    <w:rsid w:val="137D1A56"/>
    <w:rsid w:val="139812BC"/>
    <w:rsid w:val="13E7152C"/>
    <w:rsid w:val="181C1165"/>
    <w:rsid w:val="1E1F3C59"/>
    <w:rsid w:val="1FC822A8"/>
    <w:rsid w:val="2150403F"/>
    <w:rsid w:val="25DF3D3D"/>
    <w:rsid w:val="27DE04B8"/>
    <w:rsid w:val="27F76F66"/>
    <w:rsid w:val="293329AD"/>
    <w:rsid w:val="29501711"/>
    <w:rsid w:val="2AD25A69"/>
    <w:rsid w:val="2D7A5FBB"/>
    <w:rsid w:val="31C770CF"/>
    <w:rsid w:val="36120BFF"/>
    <w:rsid w:val="36B54ACD"/>
    <w:rsid w:val="36FB3DC2"/>
    <w:rsid w:val="37D02789"/>
    <w:rsid w:val="38666A14"/>
    <w:rsid w:val="393173E2"/>
    <w:rsid w:val="3DC27076"/>
    <w:rsid w:val="3DCC7D07"/>
    <w:rsid w:val="3F7841FA"/>
    <w:rsid w:val="40F96A83"/>
    <w:rsid w:val="412929F5"/>
    <w:rsid w:val="4239292C"/>
    <w:rsid w:val="445B4A7C"/>
    <w:rsid w:val="44F84BC2"/>
    <w:rsid w:val="45CB0B9F"/>
    <w:rsid w:val="535404B9"/>
    <w:rsid w:val="5397276E"/>
    <w:rsid w:val="552F4EF9"/>
    <w:rsid w:val="55D537CD"/>
    <w:rsid w:val="563F5AB1"/>
    <w:rsid w:val="58380CF2"/>
    <w:rsid w:val="58E35CC0"/>
    <w:rsid w:val="5FCC23EC"/>
    <w:rsid w:val="6483570B"/>
    <w:rsid w:val="64C35474"/>
    <w:rsid w:val="654C5C5F"/>
    <w:rsid w:val="65775884"/>
    <w:rsid w:val="69CD38F8"/>
    <w:rsid w:val="6AA27A80"/>
    <w:rsid w:val="6AAE77CE"/>
    <w:rsid w:val="702F7681"/>
    <w:rsid w:val="703962E2"/>
    <w:rsid w:val="740A1502"/>
    <w:rsid w:val="780252A5"/>
    <w:rsid w:val="784F19D5"/>
    <w:rsid w:val="79795F8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8"/>
      <w:szCs w:val="24"/>
      <w:lang w:val="en-US" w:eastAsia="zh-CN" w:bidi="ar-SA"/>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Document Map"/>
    <w:basedOn w:val="1"/>
    <w:link w:val="13"/>
    <w:uiPriority w:val="0"/>
    <w:rPr>
      <w:sz w:val="18"/>
      <w:szCs w:val="18"/>
    </w:rPr>
  </w:style>
  <w:style w:type="paragraph" w:styleId="3">
    <w:name w:val="annotation text"/>
    <w:basedOn w:val="1"/>
    <w:link w:val="14"/>
    <w:uiPriority w:val="0"/>
    <w:pPr>
      <w:jc w:val="left"/>
    </w:pPr>
  </w:style>
  <w:style w:type="paragraph" w:styleId="4">
    <w:name w:val="Body Text"/>
    <w:basedOn w:val="1"/>
    <w:qFormat/>
    <w:uiPriority w:val="1"/>
    <w:rPr>
      <w:sz w:val="28"/>
      <w:szCs w:val="28"/>
    </w:rPr>
  </w:style>
  <w:style w:type="paragraph" w:styleId="5">
    <w:name w:val="Body Text Indent"/>
    <w:basedOn w:val="1"/>
    <w:qFormat/>
    <w:uiPriority w:val="0"/>
    <w:pPr>
      <w:spacing w:after="120"/>
      <w:ind w:left="200" w:leftChars="200"/>
    </w:pPr>
  </w:style>
  <w:style w:type="paragraph" w:styleId="6">
    <w:name w:val="Balloon Text"/>
    <w:basedOn w:val="1"/>
    <w:semiHidden/>
    <w:uiPriority w:val="0"/>
    <w:rPr>
      <w:sz w:val="18"/>
      <w:szCs w:val="18"/>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17"/>
    <w:qFormat/>
    <w:uiPriority w:val="0"/>
    <w:rPr>
      <w:b/>
      <w:bCs/>
    </w:rPr>
  </w:style>
  <w:style w:type="character" w:styleId="12">
    <w:name w:val="annotation reference"/>
    <w:qFormat/>
    <w:uiPriority w:val="0"/>
    <w:rPr>
      <w:sz w:val="21"/>
      <w:szCs w:val="21"/>
    </w:rPr>
  </w:style>
  <w:style w:type="character" w:customStyle="1" w:styleId="13">
    <w:name w:val="文档结构图 Char"/>
    <w:link w:val="2"/>
    <w:qFormat/>
    <w:uiPriority w:val="0"/>
    <w:rPr>
      <w:rFonts w:ascii="宋体" w:hAnsi="宋体"/>
      <w:kern w:val="2"/>
      <w:sz w:val="18"/>
      <w:szCs w:val="18"/>
    </w:rPr>
  </w:style>
  <w:style w:type="character" w:customStyle="1" w:styleId="14">
    <w:name w:val="批注文字 Char"/>
    <w:link w:val="3"/>
    <w:qFormat/>
    <w:uiPriority w:val="0"/>
    <w:rPr>
      <w:rFonts w:ascii="宋体" w:hAnsi="宋体"/>
      <w:kern w:val="2"/>
      <w:sz w:val="28"/>
      <w:szCs w:val="24"/>
    </w:rPr>
  </w:style>
  <w:style w:type="character" w:customStyle="1" w:styleId="15">
    <w:name w:val="页脚 Char"/>
    <w:link w:val="7"/>
    <w:qFormat/>
    <w:uiPriority w:val="0"/>
    <w:rPr>
      <w:rFonts w:ascii="宋体" w:hAnsi="宋体"/>
      <w:kern w:val="2"/>
      <w:sz w:val="18"/>
      <w:szCs w:val="18"/>
    </w:rPr>
  </w:style>
  <w:style w:type="character" w:customStyle="1" w:styleId="16">
    <w:name w:val="页眉 Char"/>
    <w:link w:val="8"/>
    <w:qFormat/>
    <w:uiPriority w:val="0"/>
    <w:rPr>
      <w:rFonts w:ascii="宋体" w:hAnsi="宋体"/>
      <w:kern w:val="2"/>
      <w:sz w:val="18"/>
      <w:szCs w:val="18"/>
    </w:rPr>
  </w:style>
  <w:style w:type="character" w:customStyle="1" w:styleId="17">
    <w:name w:val="批注主题 Char"/>
    <w:link w:val="9"/>
    <w:qFormat/>
    <w:uiPriority w:val="0"/>
    <w:rPr>
      <w:rFonts w:ascii="宋体" w:hAnsi="宋体"/>
      <w:b/>
      <w:bCs/>
      <w:kern w:val="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www.xunchi.com</Company>
  <Pages>6</Pages>
  <Words>3037</Words>
  <Characters>3204</Characters>
  <Lines>8</Lines>
  <Paragraphs>2</Paragraphs>
  <TotalTime>7</TotalTime>
  <ScaleCrop>false</ScaleCrop>
  <LinksUpToDate>false</LinksUpToDate>
  <CharactersWithSpaces>3376</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2019-01-07T03:53:00Z</dcterms:created>
  <dc:creator>邱卫东</dc:creator>
  <cp:lastModifiedBy>czx</cp:lastModifiedBy>
  <cp:lastPrinted>2019-01-07T03:23:00Z</cp:lastPrinted>
  <dcterms:modified xsi:type="dcterms:W3CDTF">2023-08-29T11:07:15Z</dcterms:modified>
  <dc:title>第15号  上市公司业绩预告及修正公告格式（修订）</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9A4ADBF2F57747B998226A139F74B1A5</vt:lpwstr>
  </property>
</Properties>
</file>